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Hässleholm kommunfullmäktige</w:t>
      </w:r>
    </w:p>
    <w:p>
      <w:pPr>
        <w:pStyle w:val="Heading1"/>
      </w:pPr>
      <w:r>
        <w:t xml:space="preserve">Bredbandsutbyggnad på landsbygden i Hässleholm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Hässleholm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68 % av hushållen på landsbygden har tillgång till 100 Mbit/s (PTS 2025). Långsamma processer och höga kostnader hämmar företag och distansarbete. Kommunen har avsatt medel men takten är för låg enligt Svenskt Näringsliv.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Hässleholm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kommunstyrelsen i uppdrag att ta fram en tidsatt handlingsplan för att nå 95 % täckning av 100 Mbit/s på landsbygden senast 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avsätter 8 mnkr årligen 2027–2029 för samfinansiering med operatörer.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prioriterade områden fastställs i samråd med byalag och näringsliv.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uppföljningsrapport lämnas till kommunfullmäktige.</w:t>
      </w:r>
    </w:p>
    <w:p>
      <w:pPr>
        <w:spacing w:before="360"/>
      </w:pPr>
    </w:p>
    <w:p>
      <w:r>
        <w:t xml:space="preserve">Hässleholm,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Hässleholm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2026-07-14T00:17:59.812Z</dcterms:created>
  <dcterms:modified xsi:type="dcterms:W3CDTF">2026-07-14T00:17:59.812Z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